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Пояснения для заполнения Уведомления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о фактическом совокупном размере обязательств договора подряда</w:t>
        <w:br/>
        <w:t>на подготовку проектной документации с использованием</w:t>
        <w:br/>
        <w:t>конкурентных способов заключения договоров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Член Ассоциации ЭАЦП «Проектный портал» (далее-Ассоциация),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 xml:space="preserve">выполняющий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договора подряда на подготовку проектной документации с использованием конкурентных способов заключения договоров (далее 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конкурентные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договора), ежегодно,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обязан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уведомлять Ассоциацию о фактическом совокупном размере обязательств по конкурентным договорам. Данное уведомление направляется членом Ассоциации в срок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до 1 марта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>года, следующего за отчетным, с приложением документов (заверенных копий), подтверждающих фактический совокупный размер обязательств члена Ассоциации.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0" w:right="0" w:firstLine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Представление Уведомления о фактическом совокупном размере обязательств по конкурентным договорам и приложений-копий установленных документов желательно производить в электронном виде (сканах).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after="0" w:line="240" w:lineRule="auto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Конкурентные и не конкурентные договора.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Конкурентным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>договором подряда на подготовку проектной документации считается договор, заключённый на основании Закона № 44-ФЗ о контрактной системе; Закона № 223- ФЗ о закупках, и Постановления Правительства РФ от 01.07.2016 г. № 615.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Не конкурентными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договорами подготовки (закупки) проектной документации являются договора заключённые с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единственным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>поставщиком (подрядчиком, исполнителем).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Закупка у единственного поставщика (подрядчика, исполнителя) это: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80"/>
          <w:spacing w:val="0"/>
          <w:w w:val="100"/>
          <w:position w:val="0"/>
          <w:sz w:val="24"/>
          <w:szCs w:val="24"/>
        </w:rPr>
        <w:t>-</w:t>
      </w:r>
      <w:r>
        <w:rPr>
          <w:color w:val="000000"/>
          <w:spacing w:val="0"/>
          <w:w w:val="100"/>
          <w:position w:val="0"/>
          <w:sz w:val="24"/>
          <w:szCs w:val="24"/>
        </w:rPr>
        <w:t>закупка проектно-изыскательских работ у единственного поставщика (подрядчика, исполнителя), определенного указом или распоряжением Президента РФ, либо в случаях, установленных поручениями Президента РФ, у поставщика (подрядчика, исполнителя), определенного постановлением или распоряжением Правительства РФ (пункт 2 части 1 статьи 93 Закона № 44-ФЗ о контрактной системе),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-закупка у единственного поставщика (подрядчика, исполнителя) в случаях, установленных Положением о закупке для заказчиков в рамках Закона № 223-ФЗ о закупках,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-закупка проектно-изыскательских в случае признания конкурентного способа определения подрядчика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несостоявшимся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(пункт 25 части 1 статьи 93 Закона № 44-ФЗ о контрактной системе). Контракт по этому основанию закупки у единственного поставщика (подрядчика, исполнителя) заключается и в тех случаях, когда была подана одна заявка или допущен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к участию один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участник торгов.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after="0" w:line="240" w:lineRule="auto"/>
        <w:ind w:left="0" w:right="0" w:firstLine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Определение величины фактического совокупного размера обязательств.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Для определения величины фактического совокупного размера обязательств по конкурентным договорам необходимо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суммировать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стоимость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всех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 xml:space="preserve">выполняемых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конкурентных договоров на проектные работы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на момент определения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, за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исключением закрытых </w:t>
      </w:r>
      <w:r>
        <w:rPr>
          <w:color w:val="000000"/>
          <w:spacing w:val="0"/>
          <w:w w:val="100"/>
          <w:position w:val="0"/>
          <w:sz w:val="24"/>
          <w:szCs w:val="24"/>
        </w:rPr>
        <w:t>обязательств по которым признаны сторонами, исполненными на основании акта приемки результатов работ и (или) исполнение, по которым сторонами прекращено по основаниям, предусмотренным законом или договором (если такие имеются).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При затруднении </w:t>
      </w:r>
      <w:r>
        <w:rPr>
          <w:color w:val="000000"/>
          <w:spacing w:val="0"/>
          <w:w w:val="100"/>
          <w:position w:val="0"/>
          <w:sz w:val="24"/>
          <w:szCs w:val="24"/>
        </w:rPr>
        <w:t>определения величины фактического совокупного размера обязательств по конкурентным договорам в случаях большого количества данных договоров их продолжительности и пр. для недопущения ошибки при суммировании стоимости договоров рекомендуется составить график заключения, выполнения и закрытия конкурентных договоров. (Примерная форма приведена на листе № 3).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 xml:space="preserve">Определение величины фактического совокупного размера обязательств по конкурентным,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смешанным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>договорам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Смешанные договора (договора на выполнение проектных и изыскательских работ).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Фактический совокупный размер обязательств по конкурентным,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смешанным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договорам подряда на выполнение работ по инженерным изысканиям и подготовке проектной документации считается из стоимости конкретизирующего договора или стоимости только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проектных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>работ на основании приложений к договору или смете.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3" w:val="left"/>
        </w:tabs>
        <w:bidi w:val="0"/>
        <w:spacing w:before="0" w:after="0" w:line="240" w:lineRule="auto"/>
        <w:ind w:left="0" w:right="0" w:firstLine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При определении, превышения суммы обязательств по конкурентным договорам на выполнение проектных работ предельному размеру обязательств, исходя из которого этим членом Ассоциации был внесен взнос в компенсационный фонд обеспечения договорных обязательств, член Ассоциации может самостоятельно увеличить размер взноса в компенсационный фонд обеспечения договорных обязательств до уровня ответственности, соответствующего фактическому совокупному размеру обязательств (образец Заявления о внесении изменений сведений в реестр членов Ассоциации размещён на сайте Ассоциации).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3" w:val="left"/>
        </w:tabs>
        <w:bidi w:val="0"/>
        <w:spacing w:before="0" w:after="0" w:line="240" w:lineRule="auto"/>
        <w:ind w:left="0" w:right="0" w:firstLine="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244" w:right="741" w:bottom="1412" w:left="1736" w:header="0" w:footer="984" w:gutter="0"/>
          <w:pgNumType w:start="1"/>
          <w:cols w:space="720"/>
          <w:noEndnote/>
          <w:rtlGutter w:val="0"/>
          <w:docGrid w:linePitch="360"/>
        </w:sect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 xml:space="preserve">Член Ассоциации,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внёсший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установленный взнос в компенсационный фонд обеспечения договорных обязательств,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но не выполняющий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договора подряда на подготовку проектной документации с использованием конкурентных способов заключения договоров 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не заключивший </w:t>
      </w:r>
      <w:r>
        <w:rPr>
          <w:color w:val="000000"/>
          <w:spacing w:val="0"/>
          <w:w w:val="100"/>
          <w:position w:val="0"/>
          <w:sz w:val="24"/>
          <w:szCs w:val="24"/>
        </w:rPr>
        <w:t>такие договора в течении отчётного года в Уведомлении о фактическом совокупном размере обязательств по “конкурентным” договорам за отчётный год ставит в графах “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</w:rPr>
        <w:t>”.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right"/>
      </w:pPr>
      <w:r>
        <w:rPr>
          <w:color w:val="000000"/>
          <w:spacing w:val="0"/>
          <w:w w:val="100"/>
          <w:position w:val="0"/>
        </w:rPr>
        <w:t>Лист 3 К Пояснениям для заполнения Уведомления о фактическом совокупном размере обязательств договора подряда на подготовку проектной документации с использованием конкурентных способов заключения договоров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Примерный </w:t>
      </w:r>
      <w:r>
        <w:rPr>
          <w:color w:val="000000"/>
          <w:spacing w:val="0"/>
          <w:w w:val="100"/>
          <w:position w:val="0"/>
          <w:sz w:val="22"/>
          <w:szCs w:val="22"/>
        </w:rPr>
        <w:t>График</w:t>
        <w:br/>
        <w:t>для определения фактического совокупного размера обязательств по договорам подряда на подготовку проектной документации, заключённым с</w:t>
        <w:br/>
        <w:t>использованием конкурентных способов заключения договоров</w:t>
      </w:r>
    </w:p>
    <w:tbl>
      <w:tblPr>
        <w:tblOverlap w:val="never"/>
        <w:jc w:val="center"/>
        <w:tblLayout w:type="fixed"/>
      </w:tblPr>
      <w:tblGrid>
        <w:gridCol w:w="1344"/>
        <w:gridCol w:w="1027"/>
        <w:gridCol w:w="1426"/>
        <w:gridCol w:w="960"/>
        <w:gridCol w:w="907"/>
        <w:gridCol w:w="619"/>
        <w:gridCol w:w="792"/>
        <w:gridCol w:w="542"/>
        <w:gridCol w:w="672"/>
        <w:gridCol w:w="658"/>
        <w:gridCol w:w="763"/>
        <w:gridCol w:w="974"/>
        <w:gridCol w:w="883"/>
        <w:gridCol w:w="806"/>
        <w:gridCol w:w="888"/>
        <w:gridCol w:w="1142"/>
      </w:tblGrid>
      <w:tr>
        <w:trPr>
          <w:trHeight w:val="48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Наличие действующего договора (проектных работ) на 1.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01.202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г (Номер, дата договора)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 кем заключён договор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Сумма договора и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проектных работ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в этом договоре</w:t>
            </w:r>
          </w:p>
        </w:tc>
        <w:tc>
          <w:tcPr>
            <w:gridSpan w:val="1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Продолжительность договоров в 202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г.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Остаток суммы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проектных работ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договора на 1.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01.202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г.</w:t>
            </w:r>
          </w:p>
        </w:tc>
      </w:tr>
      <w:tr>
        <w:trPr>
          <w:trHeight w:val="12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январь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февраль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март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апрель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май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июнь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июль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август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октябрь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ноябрь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декабрь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Итого: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</w:rPr>
              <w:t>сумма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фактического совокупного размера обязательств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по всем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договорам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 xml:space="preserve">по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месяцам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headerReference w:type="default" r:id="rId6"/>
      <w:footnotePr>
        <w:pos w:val="pageBottom"/>
        <w:numFmt w:val="decimal"/>
        <w:numRestart w:val="continuous"/>
      </w:footnotePr>
      <w:pgSz w:w="16840" w:h="11900" w:orient="landscape"/>
      <w:pgMar w:top="1702" w:right="1110" w:bottom="1702" w:left="1129" w:header="0" w:footer="127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7006590</wp:posOffset>
              </wp:positionH>
              <wp:positionV relativeFrom="page">
                <wp:posOffset>494030</wp:posOffset>
              </wp:positionV>
              <wp:extent cx="5207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1.70000000000005pt;margin-top:38.899999999999999pt;width:4.09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9909810</wp:posOffset>
              </wp:positionH>
              <wp:positionV relativeFrom="page">
                <wp:posOffset>492760</wp:posOffset>
              </wp:positionV>
              <wp:extent cx="54610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80.30000000000007pt;margin-top:38.800000000000004pt;width:4.2999999999999998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4">
    <w:name w:val="Основной текст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8">
    <w:name w:val="Друго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auto"/>
      <w:spacing w:after="420"/>
      <w:ind w:left="934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7">
    <w:name w:val="Другое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